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>
        <w:rPr>
          <w:rFonts w:ascii="Cambria" w:hAnsi="Cambria" w:cs="Arial"/>
          <w:sz w:val="20"/>
          <w:lang w:val="pt-BR"/>
        </w:rPr>
        <w:t xml:space="preserve">Nº 124/2020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 xml:space="preserve">RATIBA E A EMPRESA </w:t>
      </w:r>
      <w:r>
        <w:rPr>
          <w:rFonts w:ascii="Cambria" w:hAnsi="Cambria" w:cs="Arial"/>
          <w:sz w:val="20"/>
          <w:lang w:val="pt-BR"/>
        </w:rPr>
        <w:t>A.P. ARTIOLE EIRELI ME</w:t>
      </w:r>
      <w:r>
        <w:rPr>
          <w:rFonts w:ascii="Cambria" w:hAnsi="Cambria" w:cs="Arial"/>
          <w:sz w:val="20"/>
        </w:rPr>
        <w:t xml:space="preserve"> 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>
        <w:rPr>
          <w:rFonts w:ascii="Cambria" w:hAnsi="Cambria" w:cs="Arial"/>
          <w:sz w:val="20"/>
          <w:szCs w:val="20"/>
        </w:rPr>
        <w:t>: R$ 4.770,00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1.2. A empresa </w:t>
      </w:r>
      <w:r w:rsidR="00DA029C">
        <w:rPr>
          <w:rFonts w:ascii="Cambria" w:hAnsi="Cambria"/>
          <w:b/>
          <w:sz w:val="20"/>
          <w:szCs w:val="20"/>
        </w:rPr>
        <w:t>A.P. ARTIOLE EIRELI ME</w:t>
      </w:r>
      <w:r w:rsidR="000D4791">
        <w:rPr>
          <w:rFonts w:ascii="Cambria" w:hAnsi="Cambria"/>
          <w:b/>
          <w:sz w:val="20"/>
          <w:szCs w:val="20"/>
        </w:rPr>
        <w:t>,</w:t>
      </w:r>
      <w:r w:rsidRPr="00186710">
        <w:rPr>
          <w:rFonts w:ascii="Cambria" w:hAnsi="Cambria"/>
          <w:sz w:val="20"/>
          <w:szCs w:val="20"/>
        </w:rPr>
        <w:t xml:space="preserve"> inscrita com CNPJ</w:t>
      </w:r>
      <w:r w:rsidR="00DA029C">
        <w:rPr>
          <w:rFonts w:ascii="Cambria" w:hAnsi="Cambria"/>
          <w:sz w:val="20"/>
          <w:szCs w:val="20"/>
        </w:rPr>
        <w:t xml:space="preserve"> 23.086.079/0001-10</w:t>
      </w:r>
      <w:r w:rsidRPr="00186710">
        <w:rPr>
          <w:rFonts w:ascii="Cambria" w:hAnsi="Cambria"/>
          <w:sz w:val="20"/>
          <w:szCs w:val="20"/>
        </w:rPr>
        <w:t>, Inscrição Es</w:t>
      </w:r>
      <w:r w:rsidR="00DA029C">
        <w:rPr>
          <w:rFonts w:ascii="Cambria" w:hAnsi="Cambria"/>
          <w:sz w:val="20"/>
          <w:szCs w:val="20"/>
        </w:rPr>
        <w:t>tadual 456.109.846.119</w:t>
      </w:r>
      <w:r w:rsidRPr="00186710">
        <w:rPr>
          <w:rFonts w:ascii="Cambria" w:hAnsi="Cambria"/>
          <w:sz w:val="20"/>
          <w:szCs w:val="20"/>
        </w:rPr>
        <w:t>, co</w:t>
      </w:r>
      <w:r w:rsidR="00DA029C">
        <w:rPr>
          <w:rFonts w:ascii="Cambria" w:hAnsi="Cambria"/>
          <w:sz w:val="20"/>
          <w:szCs w:val="20"/>
        </w:rPr>
        <w:t>m sede Rua Santa Cruz, Nº 577</w:t>
      </w:r>
      <w:r w:rsidRPr="00186710">
        <w:rPr>
          <w:rFonts w:ascii="Cambria" w:hAnsi="Cambria"/>
          <w:sz w:val="20"/>
          <w:szCs w:val="20"/>
        </w:rPr>
        <w:t>,</w:t>
      </w:r>
      <w:r w:rsidR="00DA029C">
        <w:rPr>
          <w:rFonts w:ascii="Cambria" w:hAnsi="Cambria"/>
          <w:sz w:val="20"/>
          <w:szCs w:val="20"/>
        </w:rPr>
        <w:t xml:space="preserve"> sala 01 Bairro Santa Cruz, em Mogi Mirim/SP</w:t>
      </w:r>
      <w:r w:rsidRPr="00186710">
        <w:rPr>
          <w:rFonts w:ascii="Cambria" w:hAnsi="Cambria"/>
          <w:sz w:val="20"/>
          <w:szCs w:val="20"/>
        </w:rPr>
        <w:t>, adiante designada simplesmente CONTRATADA, por seu represe</w:t>
      </w:r>
      <w:r w:rsidR="00DA029C">
        <w:rPr>
          <w:rFonts w:ascii="Cambria" w:hAnsi="Cambria"/>
          <w:sz w:val="20"/>
          <w:szCs w:val="20"/>
        </w:rPr>
        <w:t xml:space="preserve">ntante legal, Ana Paula </w:t>
      </w:r>
      <w:proofErr w:type="spellStart"/>
      <w:r w:rsidR="00DA029C">
        <w:rPr>
          <w:rFonts w:ascii="Cambria" w:hAnsi="Cambria"/>
          <w:sz w:val="20"/>
          <w:szCs w:val="20"/>
        </w:rPr>
        <w:t>Artiole</w:t>
      </w:r>
      <w:proofErr w:type="spellEnd"/>
      <w:r w:rsidR="00DA029C">
        <w:rPr>
          <w:rFonts w:ascii="Cambria" w:hAnsi="Cambria"/>
          <w:sz w:val="20"/>
          <w:szCs w:val="20"/>
        </w:rPr>
        <w:t>, empresária</w:t>
      </w:r>
      <w:r w:rsidRPr="00186710">
        <w:rPr>
          <w:rFonts w:ascii="Cambria" w:hAnsi="Cambria"/>
          <w:sz w:val="20"/>
          <w:szCs w:val="20"/>
        </w:rPr>
        <w:t>, portador</w:t>
      </w:r>
      <w:r w:rsidR="00DA029C">
        <w:rPr>
          <w:rFonts w:ascii="Cambria" w:hAnsi="Cambria"/>
          <w:sz w:val="20"/>
          <w:szCs w:val="20"/>
        </w:rPr>
        <w:t>a do CPF 289.104.258-14 e do RG 30.718.724-X</w:t>
      </w:r>
      <w:r w:rsidRPr="00186710">
        <w:rPr>
          <w:rFonts w:ascii="Cambria" w:hAnsi="Cambria"/>
          <w:sz w:val="20"/>
          <w:szCs w:val="20"/>
        </w:rPr>
        <w:t>, residente e dom</w:t>
      </w:r>
      <w:r w:rsidR="00DA029C">
        <w:rPr>
          <w:rFonts w:ascii="Cambria" w:hAnsi="Cambria"/>
          <w:sz w:val="20"/>
          <w:szCs w:val="20"/>
        </w:rPr>
        <w:t>iciliada à Rua Aquiles Albano</w:t>
      </w:r>
      <w:r w:rsidRPr="00186710">
        <w:rPr>
          <w:rFonts w:ascii="Cambria" w:hAnsi="Cambria"/>
          <w:sz w:val="20"/>
          <w:szCs w:val="20"/>
        </w:rPr>
        <w:t>,</w:t>
      </w:r>
      <w:r w:rsidR="00DA029C">
        <w:rPr>
          <w:rFonts w:ascii="Cambria" w:hAnsi="Cambria"/>
          <w:sz w:val="20"/>
          <w:szCs w:val="20"/>
        </w:rPr>
        <w:t xml:space="preserve"> Nº 174, Bairro Centro, em Mogi Mirim-SP,</w:t>
      </w:r>
      <w:r w:rsidRPr="00186710">
        <w:rPr>
          <w:rFonts w:ascii="Cambria" w:hAnsi="Cambria"/>
          <w:sz w:val="20"/>
          <w:szCs w:val="20"/>
        </w:rPr>
        <w:t xml:space="preserve"> ajustam o seguinte: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Contratada deverá fornecer o veículo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veículo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DA029C" w:rsidRPr="00DA029C" w:rsidRDefault="00DA029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230"/>
        <w:gridCol w:w="10"/>
        <w:gridCol w:w="70"/>
        <w:gridCol w:w="10"/>
        <w:gridCol w:w="30"/>
        <w:gridCol w:w="100"/>
        <w:gridCol w:w="1270"/>
        <w:gridCol w:w="40"/>
        <w:gridCol w:w="10"/>
        <w:gridCol w:w="230"/>
        <w:gridCol w:w="10"/>
        <w:gridCol w:w="510"/>
        <w:gridCol w:w="40"/>
        <w:gridCol w:w="30"/>
        <w:gridCol w:w="20"/>
        <w:gridCol w:w="50"/>
        <w:gridCol w:w="20"/>
        <w:gridCol w:w="10"/>
        <w:gridCol w:w="20"/>
        <w:gridCol w:w="490"/>
        <w:gridCol w:w="10"/>
        <w:gridCol w:w="20"/>
        <w:gridCol w:w="710"/>
        <w:gridCol w:w="20"/>
        <w:gridCol w:w="10"/>
        <w:gridCol w:w="20"/>
        <w:gridCol w:w="10"/>
        <w:gridCol w:w="20"/>
        <w:gridCol w:w="10"/>
        <w:gridCol w:w="20"/>
        <w:gridCol w:w="10"/>
        <w:gridCol w:w="10"/>
        <w:gridCol w:w="20"/>
        <w:gridCol w:w="10"/>
        <w:gridCol w:w="10"/>
        <w:gridCol w:w="20"/>
        <w:gridCol w:w="1100"/>
        <w:gridCol w:w="20"/>
        <w:gridCol w:w="60"/>
        <w:gridCol w:w="30"/>
        <w:gridCol w:w="30"/>
      </w:tblGrid>
      <w:tr w:rsidR="00DA029C" w:rsidTr="000D4791">
        <w:trPr>
          <w:gridBefore w:val="1"/>
          <w:gridAfter w:val="2"/>
          <w:wBefore w:w="10" w:type="dxa"/>
          <w:wAfter w:w="60" w:type="dxa"/>
          <w:trHeight w:hRule="exact" w:val="28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jc w:val="center"/>
              <w:rPr>
                <w:b/>
                <w:sz w:val="18"/>
              </w:rPr>
            </w:pPr>
            <w:r w:rsidRPr="000D4791">
              <w:rPr>
                <w:b/>
                <w:sz w:val="18"/>
              </w:rPr>
              <w:t>Descr</w:t>
            </w:r>
            <w:r w:rsidR="000D4791">
              <w:rPr>
                <w:b/>
                <w:sz w:val="18"/>
              </w:rPr>
              <w:t>ição da Mercadoria</w:t>
            </w:r>
          </w:p>
        </w:tc>
        <w:tc>
          <w:tcPr>
            <w:tcW w:w="80" w:type="dxa"/>
            <w:gridSpan w:val="2"/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13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jc w:val="center"/>
              <w:rPr>
                <w:b/>
                <w:sz w:val="18"/>
              </w:rPr>
            </w:pPr>
            <w:r w:rsidRPr="000D4791">
              <w:rPr>
                <w:b/>
                <w:sz w:val="18"/>
              </w:rPr>
              <w:t>MARCA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240" w:type="dxa"/>
            <w:gridSpan w:val="2"/>
          </w:tcPr>
          <w:p w:rsidR="00DA029C" w:rsidRPr="000D4791" w:rsidRDefault="00DA029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</w:tcPr>
          <w:p w:rsidR="00DA029C" w:rsidRPr="000D4791" w:rsidRDefault="000D4791" w:rsidP="004E4CDA">
            <w:pPr>
              <w:rPr>
                <w:b/>
                <w:sz w:val="18"/>
                <w:szCs w:val="18"/>
              </w:rPr>
            </w:pPr>
            <w:r w:rsidRPr="000D4791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90" w:type="dxa"/>
            <w:gridSpan w:val="3"/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jc w:val="center"/>
              <w:rPr>
                <w:b/>
                <w:sz w:val="18"/>
              </w:rPr>
            </w:pPr>
            <w:r w:rsidRPr="000D4791">
              <w:rPr>
                <w:b/>
                <w:sz w:val="18"/>
              </w:rPr>
              <w:t>P. Unit</w:t>
            </w:r>
          </w:p>
        </w:tc>
        <w:tc>
          <w:tcPr>
            <w:tcW w:w="60" w:type="dxa"/>
            <w:gridSpan w:val="4"/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40" w:type="dxa"/>
            <w:gridSpan w:val="3"/>
          </w:tcPr>
          <w:p w:rsidR="00DA029C" w:rsidRPr="000D4791" w:rsidRDefault="00DA029C" w:rsidP="004E4CDA">
            <w:pPr>
              <w:rPr>
                <w:b/>
              </w:rPr>
            </w:pPr>
          </w:p>
        </w:tc>
        <w:tc>
          <w:tcPr>
            <w:tcW w:w="1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Pr="000D4791" w:rsidRDefault="00DA029C" w:rsidP="004E4CDA">
            <w:pPr>
              <w:jc w:val="center"/>
              <w:rPr>
                <w:b/>
                <w:sz w:val="18"/>
              </w:rPr>
            </w:pPr>
            <w:r w:rsidRPr="000D4791">
              <w:rPr>
                <w:b/>
                <w:sz w:val="18"/>
              </w:rPr>
              <w:t>P. Total</w:t>
            </w:r>
          </w:p>
        </w:tc>
      </w:tr>
      <w:tr w:rsidR="00DA029C" w:rsidTr="000D4791">
        <w:trPr>
          <w:gridAfter w:val="4"/>
          <w:wAfter w:w="140" w:type="dxa"/>
          <w:trHeight w:hRule="exact" w:val="2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520" w:type="dxa"/>
            <w:gridSpan w:val="3"/>
          </w:tcPr>
          <w:p w:rsidR="00DA029C" w:rsidRDefault="00DA029C" w:rsidP="004E4CDA"/>
        </w:tc>
        <w:tc>
          <w:tcPr>
            <w:tcW w:w="760" w:type="dxa"/>
            <w:gridSpan w:val="4"/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120" w:type="dxa"/>
            <w:gridSpan w:val="2"/>
          </w:tcPr>
          <w:p w:rsidR="00DA029C" w:rsidRDefault="00DA029C" w:rsidP="004E4CDA"/>
        </w:tc>
      </w:tr>
      <w:tr w:rsidR="00DA029C" w:rsidTr="000D4791">
        <w:trPr>
          <w:gridAfter w:val="3"/>
          <w:wAfter w:w="120" w:type="dxa"/>
          <w:trHeight w:hRule="exact" w:val="6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520" w:type="dxa"/>
            <w:gridSpan w:val="3"/>
          </w:tcPr>
          <w:p w:rsidR="00DA029C" w:rsidRDefault="00DA029C" w:rsidP="004E4CDA"/>
        </w:tc>
        <w:tc>
          <w:tcPr>
            <w:tcW w:w="760" w:type="dxa"/>
            <w:gridSpan w:val="4"/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120" w:type="dxa"/>
            <w:gridSpan w:val="2"/>
          </w:tcPr>
          <w:p w:rsidR="00DA029C" w:rsidRDefault="00DA029C" w:rsidP="004E4CDA"/>
        </w:tc>
      </w:tr>
      <w:tr w:rsidR="00DA029C" w:rsidTr="000D4791">
        <w:trPr>
          <w:gridAfter w:val="3"/>
          <w:wAfter w:w="120" w:type="dxa"/>
          <w:trHeight w:hRule="exact" w:val="7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520" w:type="dxa"/>
            <w:gridSpan w:val="3"/>
          </w:tcPr>
          <w:p w:rsidR="00DA029C" w:rsidRDefault="00DA029C" w:rsidP="004E4CDA"/>
        </w:tc>
        <w:tc>
          <w:tcPr>
            <w:tcW w:w="760" w:type="dxa"/>
            <w:gridSpan w:val="4"/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120" w:type="dxa"/>
            <w:gridSpan w:val="2"/>
          </w:tcPr>
          <w:p w:rsidR="00DA029C" w:rsidRDefault="00DA029C" w:rsidP="004E4CDA"/>
        </w:tc>
      </w:tr>
      <w:tr w:rsidR="00DA029C" w:rsidTr="000D4791">
        <w:trPr>
          <w:gridAfter w:val="3"/>
          <w:wAfter w:w="120" w:type="dxa"/>
          <w:trHeight w:hRule="exact" w:val="8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520" w:type="dxa"/>
            <w:gridSpan w:val="3"/>
          </w:tcPr>
          <w:p w:rsidR="00DA029C" w:rsidRDefault="00DA029C" w:rsidP="004E4CDA"/>
        </w:tc>
        <w:tc>
          <w:tcPr>
            <w:tcW w:w="760" w:type="dxa"/>
            <w:gridSpan w:val="4"/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120" w:type="dxa"/>
            <w:gridSpan w:val="2"/>
          </w:tcPr>
          <w:p w:rsidR="00DA029C" w:rsidRDefault="00DA029C" w:rsidP="004E4CDA"/>
        </w:tc>
      </w:tr>
      <w:tr w:rsidR="00DA029C" w:rsidTr="000D4791">
        <w:trPr>
          <w:gridAfter w:val="1"/>
          <w:wAfter w:w="30" w:type="dxa"/>
          <w:trHeight w:hRule="exact" w:val="220"/>
        </w:trPr>
        <w:tc>
          <w:tcPr>
            <w:tcW w:w="3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>
            <w:pPr>
              <w:jc w:val="both"/>
            </w:pPr>
            <w:r>
              <w:rPr>
                <w:sz w:val="16"/>
              </w:rPr>
              <w:t>ESTANTE DE AÇO 198X90X40 CHAPA 24</w:t>
            </w:r>
          </w:p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>
            <w:pPr>
              <w:jc w:val="both"/>
            </w:pPr>
            <w:r>
              <w:rPr>
                <w:sz w:val="16"/>
              </w:rPr>
              <w:t>RS MOVEIS</w:t>
            </w:r>
          </w:p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79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>
            <w:pPr>
              <w:jc w:val="right"/>
            </w:pPr>
            <w:r>
              <w:rPr>
                <w:sz w:val="14"/>
              </w:rPr>
              <w:t>20,00</w:t>
            </w:r>
          </w:p>
        </w:tc>
        <w:tc>
          <w:tcPr>
            <w:tcW w:w="110" w:type="dxa"/>
            <w:gridSpan w:val="4"/>
          </w:tcPr>
          <w:p w:rsidR="00DA029C" w:rsidRDefault="00DA029C" w:rsidP="004E4CDA"/>
        </w:tc>
        <w:tc>
          <w:tcPr>
            <w:tcW w:w="12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>
            <w:pPr>
              <w:jc w:val="right"/>
            </w:pPr>
            <w:r>
              <w:rPr>
                <w:sz w:val="14"/>
              </w:rPr>
              <w:t>R$ 238,5000</w:t>
            </w:r>
          </w:p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2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>
            <w:pPr>
              <w:jc w:val="right"/>
            </w:pPr>
            <w:r>
              <w:rPr>
                <w:sz w:val="14"/>
              </w:rPr>
              <w:t>R$ 4.770,00</w:t>
            </w:r>
          </w:p>
        </w:tc>
      </w:tr>
      <w:tr w:rsidR="00DA029C" w:rsidTr="000D4791">
        <w:trPr>
          <w:gridAfter w:val="1"/>
          <w:wAfter w:w="30" w:type="dxa"/>
          <w:trHeight w:hRule="exact" w:val="160"/>
        </w:trPr>
        <w:tc>
          <w:tcPr>
            <w:tcW w:w="3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79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110" w:type="dxa"/>
            <w:gridSpan w:val="4"/>
          </w:tcPr>
          <w:p w:rsidR="00DA029C" w:rsidRDefault="00DA029C" w:rsidP="004E4CDA"/>
        </w:tc>
        <w:tc>
          <w:tcPr>
            <w:tcW w:w="12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2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</w:tr>
      <w:tr w:rsidR="00DA029C" w:rsidTr="000D4791">
        <w:trPr>
          <w:trHeight w:hRule="exact" w:val="20"/>
        </w:trPr>
        <w:tc>
          <w:tcPr>
            <w:tcW w:w="3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1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</w:tr>
      <w:tr w:rsidR="00DA029C" w:rsidTr="000D4791">
        <w:trPr>
          <w:gridAfter w:val="3"/>
          <w:wAfter w:w="120" w:type="dxa"/>
          <w:trHeight w:hRule="exact" w:val="10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520" w:type="dxa"/>
            <w:gridSpan w:val="3"/>
          </w:tcPr>
          <w:p w:rsidR="00DA029C" w:rsidRDefault="00DA029C" w:rsidP="004E4CDA"/>
        </w:tc>
        <w:tc>
          <w:tcPr>
            <w:tcW w:w="760" w:type="dxa"/>
            <w:gridSpan w:val="4"/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120" w:type="dxa"/>
            <w:gridSpan w:val="2"/>
          </w:tcPr>
          <w:p w:rsidR="00DA029C" w:rsidRDefault="00DA029C" w:rsidP="004E4CDA"/>
        </w:tc>
      </w:tr>
      <w:tr w:rsidR="00DA029C" w:rsidTr="000D4791">
        <w:trPr>
          <w:trHeight w:hRule="exact" w:val="2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2660" w:type="dxa"/>
            <w:gridSpan w:val="2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/>
        </w:tc>
      </w:tr>
      <w:tr w:rsidR="00DA029C" w:rsidTr="000D4791">
        <w:trPr>
          <w:gridAfter w:val="3"/>
          <w:wAfter w:w="120" w:type="dxa"/>
          <w:trHeight w:hRule="exact" w:val="2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55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  <w:gridSpan w:val="4"/>
          </w:tcPr>
          <w:p w:rsidR="00DA029C" w:rsidRDefault="00DA029C" w:rsidP="004E4CDA"/>
        </w:tc>
        <w:tc>
          <w:tcPr>
            <w:tcW w:w="520" w:type="dxa"/>
            <w:gridSpan w:val="3"/>
          </w:tcPr>
          <w:p w:rsidR="00DA029C" w:rsidRDefault="00DA029C" w:rsidP="004E4CDA"/>
        </w:tc>
        <w:tc>
          <w:tcPr>
            <w:tcW w:w="760" w:type="dxa"/>
            <w:gridSpan w:val="4"/>
          </w:tcPr>
          <w:p w:rsidR="00DA029C" w:rsidRDefault="00DA029C" w:rsidP="004E4CDA"/>
        </w:tc>
        <w:tc>
          <w:tcPr>
            <w:tcW w:w="60" w:type="dxa"/>
            <w:gridSpan w:val="4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40" w:type="dxa"/>
            <w:gridSpan w:val="3"/>
          </w:tcPr>
          <w:p w:rsidR="00DA029C" w:rsidRDefault="00DA029C" w:rsidP="004E4CDA"/>
        </w:tc>
        <w:tc>
          <w:tcPr>
            <w:tcW w:w="1120" w:type="dxa"/>
            <w:gridSpan w:val="2"/>
          </w:tcPr>
          <w:p w:rsidR="00DA029C" w:rsidRDefault="00DA029C" w:rsidP="004E4CDA"/>
        </w:tc>
      </w:tr>
      <w:tr w:rsidR="00DA029C" w:rsidTr="000D4791">
        <w:trPr>
          <w:gridAfter w:val="1"/>
          <w:wAfter w:w="30" w:type="dxa"/>
          <w:trHeight w:hRule="exact" w:val="220"/>
        </w:trPr>
        <w:tc>
          <w:tcPr>
            <w:tcW w:w="3240" w:type="dxa"/>
            <w:gridSpan w:val="2"/>
          </w:tcPr>
          <w:p w:rsidR="00DA029C" w:rsidRDefault="00DA029C" w:rsidP="004E4CDA"/>
        </w:tc>
        <w:tc>
          <w:tcPr>
            <w:tcW w:w="80" w:type="dxa"/>
            <w:gridSpan w:val="2"/>
          </w:tcPr>
          <w:p w:rsidR="00DA029C" w:rsidRDefault="00DA029C" w:rsidP="004E4CDA"/>
        </w:tc>
        <w:tc>
          <w:tcPr>
            <w:tcW w:w="40" w:type="dxa"/>
            <w:gridSpan w:val="2"/>
          </w:tcPr>
          <w:p w:rsidR="00DA029C" w:rsidRDefault="00DA029C" w:rsidP="004E4CDA"/>
        </w:tc>
        <w:tc>
          <w:tcPr>
            <w:tcW w:w="100" w:type="dxa"/>
          </w:tcPr>
          <w:p w:rsidR="00DA029C" w:rsidRDefault="00DA029C" w:rsidP="004E4CDA"/>
        </w:tc>
        <w:tc>
          <w:tcPr>
            <w:tcW w:w="1270" w:type="dxa"/>
          </w:tcPr>
          <w:p w:rsidR="00DA029C" w:rsidRDefault="00DA029C" w:rsidP="004E4CDA"/>
        </w:tc>
        <w:tc>
          <w:tcPr>
            <w:tcW w:w="50" w:type="dxa"/>
            <w:gridSpan w:val="2"/>
          </w:tcPr>
          <w:p w:rsidR="00DA029C" w:rsidRDefault="00DA029C" w:rsidP="004E4CDA"/>
        </w:tc>
        <w:tc>
          <w:tcPr>
            <w:tcW w:w="240" w:type="dxa"/>
            <w:gridSpan w:val="2"/>
          </w:tcPr>
          <w:p w:rsidR="00DA029C" w:rsidRDefault="00DA029C" w:rsidP="004E4CDA"/>
        </w:tc>
        <w:tc>
          <w:tcPr>
            <w:tcW w:w="11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029C" w:rsidRDefault="00DA029C" w:rsidP="004E4CDA">
            <w:pPr>
              <w:jc w:val="right"/>
            </w:pPr>
            <w:r>
              <w:rPr>
                <w:b/>
                <w:sz w:val="16"/>
              </w:rPr>
              <w:t>Total Parcial:</w:t>
            </w:r>
          </w:p>
        </w:tc>
        <w:tc>
          <w:tcPr>
            <w:tcW w:w="21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29C" w:rsidRDefault="00DA029C" w:rsidP="004E4CDA">
            <w:pPr>
              <w:jc w:val="right"/>
            </w:pPr>
            <w:r>
              <w:rPr>
                <w:b/>
                <w:sz w:val="16"/>
              </w:rPr>
              <w:t>R$ 4.770,00</w:t>
            </w:r>
          </w:p>
        </w:tc>
      </w:tr>
    </w:tbl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4</w:t>
      </w:r>
      <w:r w:rsidRPr="00186710">
        <w:rPr>
          <w:rFonts w:ascii="Cambria" w:hAnsi="Cambria"/>
          <w:sz w:val="20"/>
          <w:szCs w:val="20"/>
        </w:rPr>
        <w:t xml:space="preserve"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</w:t>
      </w:r>
      <w:r w:rsidRPr="00186710">
        <w:rPr>
          <w:rFonts w:ascii="Cambria" w:hAnsi="Cambria"/>
          <w:sz w:val="20"/>
          <w:szCs w:val="20"/>
        </w:rPr>
        <w:lastRenderedPageBreak/>
        <w:t>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.1. O termo do futuro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lastRenderedPageBreak/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 xml:space="preserve">do o início do fornecimento do veículo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0D4791">
        <w:rPr>
          <w:rFonts w:ascii="Cambria" w:hAnsi="Cambria" w:cs="Arial"/>
          <w:b/>
          <w:sz w:val="20"/>
          <w:szCs w:val="20"/>
        </w:rPr>
        <w:t>A.P. ARTIOLE EIRELI ME</w:t>
      </w:r>
    </w:p>
    <w:p w:rsidR="00F061E2" w:rsidRPr="000D4791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69C3" w:rsidRDefault="000D69C3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Pr="00186710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0D4791">
        <w:rPr>
          <w:rFonts w:ascii="Cambria" w:hAnsi="Cambria"/>
          <w:b/>
          <w:sz w:val="20"/>
          <w:szCs w:val="20"/>
        </w:rPr>
        <w:t>A.P. ARTIOLE EIRELI ME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0D4791">
        <w:rPr>
          <w:rFonts w:ascii="Cambria" w:hAnsi="Cambria"/>
          <w:sz w:val="20"/>
          <w:szCs w:val="20"/>
        </w:rPr>
        <w:t>23.086.079/0001-10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0D4791">
        <w:rPr>
          <w:rFonts w:ascii="Cambria" w:hAnsi="Cambria" w:cs="Arial"/>
          <w:sz w:val="20"/>
          <w:szCs w:val="20"/>
        </w:rPr>
        <w:t>124/2020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0D69C3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0D4791">
        <w:rPr>
          <w:rFonts w:ascii="Cambria" w:hAnsi="Cambria" w:cs="Arial"/>
          <w:sz w:val="20"/>
          <w:szCs w:val="20"/>
        </w:rPr>
        <w:t>4.770,00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0D4791">
        <w:rPr>
          <w:rFonts w:ascii="Cambria" w:hAnsi="Cambria"/>
          <w:b/>
          <w:sz w:val="20"/>
          <w:szCs w:val="20"/>
        </w:rPr>
        <w:t>A.P. ARTIOLE EIRELI ME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0D4791">
        <w:rPr>
          <w:rFonts w:ascii="Cambria" w:hAnsi="Cambria" w:cs="Arial"/>
          <w:sz w:val="20"/>
          <w:szCs w:val="20"/>
        </w:rPr>
        <w:t>: 124/2020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mensagem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2863C7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C7" w:rsidRDefault="002863C7" w:rsidP="00F061E2">
      <w:r>
        <w:separator/>
      </w:r>
    </w:p>
  </w:endnote>
  <w:endnote w:type="continuationSeparator" w:id="0">
    <w:p w:rsidR="002863C7" w:rsidRDefault="002863C7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98CE15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C7" w:rsidRDefault="002863C7" w:rsidP="00F061E2">
      <w:r>
        <w:separator/>
      </w:r>
    </w:p>
  </w:footnote>
  <w:footnote w:type="continuationSeparator" w:id="0">
    <w:p w:rsidR="002863C7" w:rsidRDefault="002863C7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57066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D4791"/>
    <w:rsid w:val="000D69C3"/>
    <w:rsid w:val="002863C7"/>
    <w:rsid w:val="004947D5"/>
    <w:rsid w:val="005176E2"/>
    <w:rsid w:val="00A31173"/>
    <w:rsid w:val="00AE777D"/>
    <w:rsid w:val="00DA029C"/>
    <w:rsid w:val="00F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2257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2020-09-29T17:16:00Z</dcterms:created>
  <dcterms:modified xsi:type="dcterms:W3CDTF">2020-09-30T11:07:00Z</dcterms:modified>
</cp:coreProperties>
</file>